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2023 года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fldChar w:fldCharType="begin"/>
      </w:r>
      <w:r>
        <w:instrText xml:space="preserve"> HYPERLINK "http://vkazym.ru/info/hearing/" </w:instrText>
      </w:r>
      <w: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</w:rPr>
        <w:t>http://admsorum.ru/info/hearing/?ELEMENT_ID=77583#tabs-container1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утверждения программы энергосбережения и повышения энергетической эффективности  муниципального казенного учреждения администраци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и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/>
          <w:sz w:val="24"/>
          <w:szCs w:val="24"/>
          <w:u w:val="single"/>
        </w:rPr>
        <w:t xml:space="preserve"> Белоярского района на период 2023-2025 годы.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проведены в срок с 9 марта 2023 года по 15 марта 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Хабибуллина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спе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799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1</TotalTime>
  <ScaleCrop>false</ScaleCrop>
  <LinksUpToDate>false</LinksUpToDate>
  <CharactersWithSpaces>2677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2023-03-30T12:58:49Z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0D2CA0F2FA7D4EAFBE458FFFF73233A4</vt:lpwstr>
  </property>
</Properties>
</file>